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39" w:rsidRPr="0082644C" w:rsidRDefault="00F13F39" w:rsidP="00F13F39">
      <w:pPr>
        <w:rPr>
          <w:rStyle w:val="Strong"/>
          <w:bCs w:val="0"/>
        </w:rPr>
      </w:pPr>
      <w:proofErr w:type="gramStart"/>
      <w:r>
        <w:rPr>
          <w:rStyle w:val="Strong"/>
          <w:rFonts w:ascii="Verdana" w:hAnsi="Verdana"/>
          <w:color w:val="333333"/>
          <w:sz w:val="18"/>
          <w:szCs w:val="18"/>
        </w:rPr>
        <w:t xml:space="preserve">TITLE </w:t>
      </w:r>
      <w:r w:rsidR="00214511">
        <w:rPr>
          <w:rStyle w:val="Strong"/>
          <w:rFonts w:ascii="Verdana" w:hAnsi="Verdana"/>
          <w:color w:val="333333"/>
          <w:sz w:val="18"/>
          <w:szCs w:val="18"/>
        </w:rPr>
        <w:t>:</w:t>
      </w:r>
      <w:proofErr w:type="gramEnd"/>
      <w:r>
        <w:rPr>
          <w:rStyle w:val="Strong"/>
          <w:rFonts w:ascii="Verdana" w:hAnsi="Verdana"/>
          <w:color w:val="333333"/>
          <w:sz w:val="18"/>
          <w:szCs w:val="18"/>
        </w:rPr>
        <w:t xml:space="preserve">                  </w:t>
      </w:r>
      <w:proofErr w:type="spellStart"/>
      <w:r w:rsidRPr="00F13F39">
        <w:rPr>
          <w:rStyle w:val="Strong"/>
          <w:rFonts w:ascii="Verdana" w:hAnsi="Verdana"/>
          <w:b w:val="0"/>
          <w:color w:val="333333"/>
          <w:sz w:val="18"/>
          <w:szCs w:val="18"/>
        </w:rPr>
        <w:t>Pvp</w:t>
      </w:r>
      <w:proofErr w:type="spellEnd"/>
      <w:r w:rsidRPr="00F13F39">
        <w:rPr>
          <w:rStyle w:val="Strong"/>
          <w:rFonts w:ascii="Verdana" w:hAnsi="Verdana"/>
          <w:b w:val="0"/>
          <w:color w:val="333333"/>
          <w:sz w:val="18"/>
          <w:szCs w:val="18"/>
        </w:rPr>
        <w:t xml:space="preserve"> Stabilized Nanoparticle For Blood Clot Management And Thrombosis</w:t>
      </w:r>
    </w:p>
    <w:p w:rsidR="00F13F39" w:rsidRPr="00F13F39" w:rsidRDefault="00F13F39" w:rsidP="00F13F39">
      <w:pPr>
        <w:pStyle w:val="BodyText"/>
        <w:spacing w:before="268"/>
        <w:ind w:left="100" w:right="116"/>
        <w:jc w:val="both"/>
        <w:rPr>
          <w:b/>
        </w:rPr>
      </w:pPr>
      <w:r w:rsidRPr="00F13F39">
        <w:rPr>
          <w:b/>
        </w:rPr>
        <w:t>Abstract</w:t>
      </w:r>
      <w:r w:rsidR="00214511">
        <w:rPr>
          <w:b/>
        </w:rPr>
        <w:t>:</w:t>
      </w:r>
      <w:bookmarkStart w:id="0" w:name="_GoBack"/>
      <w:bookmarkEnd w:id="0"/>
    </w:p>
    <w:p w:rsidR="00F13F39" w:rsidRDefault="00F13F39" w:rsidP="00F13F39">
      <w:pPr>
        <w:pStyle w:val="BodyText"/>
        <w:spacing w:before="268"/>
        <w:ind w:left="100" w:right="116"/>
        <w:jc w:val="both"/>
      </w:pPr>
      <w:r>
        <w:t>Blood clot-related diseases have been challenging for decades; this includes severe conditions</w:t>
      </w:r>
      <w:r>
        <w:rPr>
          <w:spacing w:val="-57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thrombosis,</w:t>
      </w:r>
      <w:r>
        <w:rPr>
          <w:spacing w:val="1"/>
        </w:rPr>
        <w:t xml:space="preserve"> </w:t>
      </w:r>
      <w:r>
        <w:t>thrombophilia,</w:t>
      </w:r>
      <w:r>
        <w:rPr>
          <w:spacing w:val="1"/>
        </w:rPr>
        <w:t xml:space="preserve"> </w:t>
      </w:r>
      <w:r>
        <w:t>strokes,</w:t>
      </w:r>
      <w:r>
        <w:rPr>
          <w:spacing w:val="1"/>
        </w:rPr>
        <w:t xml:space="preserve"> </w:t>
      </w:r>
      <w:r>
        <w:t>atrial</w:t>
      </w:r>
      <w:r>
        <w:rPr>
          <w:spacing w:val="1"/>
        </w:rPr>
        <w:t xml:space="preserve"> </w:t>
      </w:r>
      <w:r>
        <w:t>fibrillation,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disseminated</w:t>
      </w:r>
      <w:r>
        <w:rPr>
          <w:spacing w:val="1"/>
        </w:rPr>
        <w:t xml:space="preserve"> </w:t>
      </w:r>
      <w:r>
        <w:t>intravascular</w:t>
      </w:r>
      <w:r>
        <w:rPr>
          <w:spacing w:val="-57"/>
        </w:rPr>
        <w:t xml:space="preserve"> </w:t>
      </w:r>
      <w:r>
        <w:t>coagulation.</w:t>
      </w:r>
      <w:r>
        <w:rPr>
          <w:spacing w:val="1"/>
        </w:rPr>
        <w:t xml:space="preserve"> </w:t>
      </w:r>
      <w:r>
        <w:t>Commercially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anticoagulation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antithrombotic</w:t>
      </w:r>
      <w:r>
        <w:rPr>
          <w:spacing w:val="1"/>
        </w:rPr>
        <w:t xml:space="preserve"> </w:t>
      </w:r>
      <w:r>
        <w:t>agents,</w:t>
      </w:r>
      <w:r>
        <w:rPr>
          <w:spacing w:val="1"/>
        </w:rPr>
        <w:t xml:space="preserve"> </w:t>
      </w:r>
      <w:r>
        <w:t>EDTA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heparin,</w:t>
      </w:r>
      <w:r>
        <w:rPr>
          <w:spacing w:val="1"/>
        </w:rPr>
        <w:t xml:space="preserve"> </w:t>
      </w:r>
      <w:r>
        <w:t>too,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limitations.</w:t>
      </w:r>
      <w:r>
        <w:rPr>
          <w:spacing w:val="1"/>
        </w:rPr>
        <w:t xml:space="preserve"> </w:t>
      </w:r>
      <w:r>
        <w:t>Herein,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nanoparticles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inorganic complex reaction. These oxalate-containing NPs were thoroughly characterized</w:t>
      </w:r>
      <w:r>
        <w:rPr>
          <w:spacing w:val="1"/>
        </w:rPr>
        <w:t xml:space="preserve"> </w:t>
      </w:r>
      <w:r>
        <w:t>using FTIR, TEM, SEM, DLS, and XRD. We hypothesize that the presence of oxalate can</w:t>
      </w:r>
      <w:r>
        <w:rPr>
          <w:spacing w:val="1"/>
        </w:rPr>
        <w:t xml:space="preserve"> </w:t>
      </w:r>
      <w:r>
        <w:t>chelate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calcium,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nanoparticles</w:t>
      </w:r>
      <w:r>
        <w:rPr>
          <w:spacing w:val="1"/>
        </w:rPr>
        <w:t xml:space="preserve"> </w:t>
      </w:r>
      <w:r>
        <w:t>display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anticoagulation</w:t>
      </w:r>
      <w:r>
        <w:rPr>
          <w:spacing w:val="1"/>
        </w:rPr>
        <w:t xml:space="preserve"> </w:t>
      </w:r>
      <w:r>
        <w:t>properties when incubated with human blood. In vitro studies, including prothrombin time,</w:t>
      </w:r>
      <w:r>
        <w:rPr>
          <w:spacing w:val="1"/>
        </w:rPr>
        <w:t xml:space="preserve"> </w:t>
      </w:r>
      <w:r>
        <w:t xml:space="preserve">activated partial </w:t>
      </w:r>
      <w:proofErr w:type="spellStart"/>
      <w:r>
        <w:t>thromboplastin</w:t>
      </w:r>
      <w:proofErr w:type="spellEnd"/>
      <w:r>
        <w:t xml:space="preserve"> time, and </w:t>
      </w:r>
      <w:proofErr w:type="spellStart"/>
      <w:r>
        <w:t>fibrinolytic</w:t>
      </w:r>
      <w:proofErr w:type="spellEnd"/>
      <w:r>
        <w:t xml:space="preserve"> assay, were evaluated, which confirms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anticoagulation</w:t>
      </w:r>
      <w:r>
        <w:rPr>
          <w:spacing w:val="-6"/>
        </w:rPr>
        <w:t xml:space="preserve"> </w:t>
      </w:r>
      <w:r>
        <w:t>property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NPs.</w:t>
      </w:r>
      <w:r>
        <w:rPr>
          <w:spacing w:val="-6"/>
        </w:rPr>
        <w:t xml:space="preserve"> </w:t>
      </w:r>
      <w:r>
        <w:t>BALB/C</w:t>
      </w:r>
      <w:r>
        <w:rPr>
          <w:spacing w:val="-6"/>
        </w:rPr>
        <w:t xml:space="preserve"> </w:t>
      </w:r>
      <w:r>
        <w:t>mice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vivo</w:t>
      </w:r>
      <w:r>
        <w:rPr>
          <w:spacing w:val="-6"/>
        </w:rPr>
        <w:t xml:space="preserve"> </w:t>
      </w:r>
      <w:r>
        <w:t>studies.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tail</w:t>
      </w:r>
      <w:r>
        <w:rPr>
          <w:spacing w:val="-58"/>
        </w:rPr>
        <w:t xml:space="preserve"> </w:t>
      </w:r>
      <w:r>
        <w:rPr>
          <w:spacing w:val="-1"/>
        </w:rPr>
        <w:t>bleeding</w:t>
      </w:r>
      <w:r>
        <w:rPr>
          <w:spacing w:val="-14"/>
        </w:rPr>
        <w:t xml:space="preserve"> </w:t>
      </w:r>
      <w:r>
        <w:rPr>
          <w:spacing w:val="-1"/>
        </w:rPr>
        <w:t>assay,</w:t>
      </w:r>
      <w:r>
        <w:rPr>
          <w:spacing w:val="-13"/>
        </w:rPr>
        <w:t xml:space="preserve"> </w:t>
      </w:r>
      <w:r>
        <w:rPr>
          <w:spacing w:val="-1"/>
        </w:rPr>
        <w:t>enhanced</w:t>
      </w:r>
      <w:r>
        <w:rPr>
          <w:spacing w:val="-14"/>
        </w:rPr>
        <w:t xml:space="preserve"> </w:t>
      </w:r>
      <w:r>
        <w:rPr>
          <w:spacing w:val="-1"/>
        </w:rPr>
        <w:t>clotting</w:t>
      </w:r>
      <w:r>
        <w:rPr>
          <w:spacing w:val="-13"/>
        </w:rPr>
        <w:t xml:space="preserve"> </w:t>
      </w:r>
      <w:r>
        <w:rPr>
          <w:spacing w:val="-1"/>
        </w:rPr>
        <w:t>was</w:t>
      </w:r>
      <w:r>
        <w:rPr>
          <w:spacing w:val="-13"/>
        </w:rPr>
        <w:t xml:space="preserve"> </w:t>
      </w:r>
      <w:r>
        <w:rPr>
          <w:spacing w:val="-1"/>
        </w:rPr>
        <w:t>observed</w:t>
      </w:r>
      <w:r>
        <w:rPr>
          <w:spacing w:val="-14"/>
        </w:rPr>
        <w:t xml:space="preserve"> </w:t>
      </w:r>
      <w:r>
        <w:t>after</w:t>
      </w:r>
      <w:r>
        <w:rPr>
          <w:spacing w:val="-13"/>
        </w:rPr>
        <w:t xml:space="preserve"> </w:t>
      </w:r>
      <w:r>
        <w:t>NPs</w:t>
      </w:r>
      <w:r>
        <w:rPr>
          <w:spacing w:val="-14"/>
        </w:rPr>
        <w:t xml:space="preserve"> </w:t>
      </w:r>
      <w:r>
        <w:t>treatment,</w:t>
      </w:r>
      <w:r>
        <w:rPr>
          <w:spacing w:val="-13"/>
        </w:rPr>
        <w:t xml:space="preserve"> </w:t>
      </w:r>
      <w:r>
        <w:t>whereas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ferric</w:t>
      </w:r>
      <w:r>
        <w:rPr>
          <w:spacing w:val="-13"/>
        </w:rPr>
        <w:t xml:space="preserve"> </w:t>
      </w:r>
      <w:r>
        <w:t>chloride</w:t>
      </w:r>
      <w:r>
        <w:rPr>
          <w:spacing w:val="-58"/>
        </w:rPr>
        <w:t xml:space="preserve"> </w:t>
      </w:r>
      <w:r>
        <w:t>was used to induce thrombosis model. According to the histology reports, accumulation of</w:t>
      </w:r>
      <w:r>
        <w:rPr>
          <w:spacing w:val="1"/>
        </w:rPr>
        <w:t xml:space="preserve"> </w:t>
      </w:r>
      <w:r>
        <w:t>leukocyte, fibrin, and red blood cells was the least in the NPs treated group. Moreover, CAM</w:t>
      </w:r>
      <w:r>
        <w:rPr>
          <w:spacing w:val="1"/>
        </w:rPr>
        <w:t xml:space="preserve"> </w:t>
      </w:r>
      <w:r>
        <w:t xml:space="preserve">and hemolysis assay signifies the biocompatibility and </w:t>
      </w:r>
      <w:proofErr w:type="spellStart"/>
      <w:r>
        <w:t>hemocompatibility</w:t>
      </w:r>
      <w:proofErr w:type="spellEnd"/>
      <w:r>
        <w:t xml:space="preserve"> of the NPs. Hence,</w:t>
      </w:r>
      <w:r>
        <w:rPr>
          <w:spacing w:val="-57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diseases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blood</w:t>
      </w:r>
      <w:r>
        <w:rPr>
          <w:spacing w:val="-1"/>
        </w:rPr>
        <w:t xml:space="preserve"> </w:t>
      </w:r>
      <w:r>
        <w:t>clot</w:t>
      </w:r>
      <w:r>
        <w:rPr>
          <w:spacing w:val="-2"/>
        </w:rPr>
        <w:t xml:space="preserve"> </w:t>
      </w:r>
      <w:r>
        <w:t>management.</w:t>
      </w:r>
    </w:p>
    <w:p w:rsidR="00F13F39" w:rsidRDefault="00F13F39" w:rsidP="00F13F39"/>
    <w:p w:rsidR="00F13F39" w:rsidRDefault="00F13F39" w:rsidP="00F13F39">
      <w:pPr>
        <w:spacing w:after="0"/>
      </w:pPr>
    </w:p>
    <w:p w:rsidR="00F13F39" w:rsidRDefault="00F13F39" w:rsidP="00F13F39">
      <w:pPr>
        <w:spacing w:after="0"/>
      </w:pPr>
    </w:p>
    <w:p w:rsidR="00F13F39" w:rsidRDefault="00F13F39" w:rsidP="00F13F39">
      <w:pPr>
        <w:spacing w:after="0"/>
      </w:pPr>
    </w:p>
    <w:p w:rsidR="00F13F39" w:rsidRDefault="00F13F39" w:rsidP="00F13F39">
      <w:pPr>
        <w:spacing w:after="0"/>
      </w:pPr>
    </w:p>
    <w:p w:rsidR="00F13F39" w:rsidRDefault="00F13F39" w:rsidP="00F13F39">
      <w:pPr>
        <w:spacing w:after="0"/>
      </w:pPr>
    </w:p>
    <w:p w:rsidR="00F13F39" w:rsidRDefault="00F13F39" w:rsidP="00F13F39">
      <w:pPr>
        <w:spacing w:after="0"/>
      </w:pPr>
    </w:p>
    <w:p w:rsidR="00F13F39" w:rsidRDefault="00F13F39" w:rsidP="00F13F39">
      <w:pPr>
        <w:spacing w:after="0"/>
        <w:rPr>
          <w:b/>
        </w:rPr>
      </w:pPr>
    </w:p>
    <w:p w:rsidR="00F13F39" w:rsidRDefault="00F13F39" w:rsidP="00F13F39">
      <w:pPr>
        <w:spacing w:after="0"/>
        <w:rPr>
          <w:b/>
        </w:rPr>
      </w:pPr>
    </w:p>
    <w:p w:rsidR="00F13F39" w:rsidRDefault="00F13F39" w:rsidP="00F13F39">
      <w:pPr>
        <w:spacing w:after="0"/>
        <w:rPr>
          <w:b/>
        </w:rPr>
      </w:pPr>
    </w:p>
    <w:p w:rsidR="00F13F39" w:rsidRDefault="00F13F39" w:rsidP="00F13F39">
      <w:pPr>
        <w:spacing w:after="0"/>
        <w:rPr>
          <w:b/>
        </w:rPr>
      </w:pPr>
    </w:p>
    <w:p w:rsidR="00F13F39" w:rsidRDefault="00F13F39" w:rsidP="00F13F39">
      <w:pPr>
        <w:spacing w:after="0"/>
        <w:rPr>
          <w:b/>
        </w:rPr>
      </w:pPr>
    </w:p>
    <w:p w:rsidR="00F13F39" w:rsidRDefault="00F13F39" w:rsidP="00F13F39">
      <w:pPr>
        <w:spacing w:after="0"/>
        <w:rPr>
          <w:b/>
        </w:rPr>
      </w:pPr>
    </w:p>
    <w:p w:rsidR="00F13F39" w:rsidRDefault="00F13F39" w:rsidP="00F13F39">
      <w:pPr>
        <w:spacing w:after="0"/>
        <w:rPr>
          <w:b/>
        </w:rPr>
      </w:pPr>
    </w:p>
    <w:p w:rsidR="00F13F39" w:rsidRPr="00F86EB1" w:rsidRDefault="00F13F39" w:rsidP="00F13F39">
      <w:pPr>
        <w:spacing w:after="0"/>
        <w:rPr>
          <w:b/>
        </w:rPr>
      </w:pPr>
      <w:r w:rsidRPr="00F86EB1">
        <w:rPr>
          <w:b/>
        </w:rPr>
        <w:t>Poster Presenter</w:t>
      </w:r>
      <w:r w:rsidRPr="00F86EB1">
        <w:rPr>
          <w:b/>
        </w:rPr>
        <w:tab/>
        <w:t>:</w:t>
      </w:r>
      <w:r w:rsidRPr="00F86EB1">
        <w:rPr>
          <w:b/>
        </w:rPr>
        <w:tab/>
      </w:r>
      <w:proofErr w:type="spellStart"/>
      <w:r w:rsidRPr="00F86EB1">
        <w:rPr>
          <w:b/>
        </w:rPr>
        <w:t>Devyani</w:t>
      </w:r>
      <w:proofErr w:type="spellEnd"/>
      <w:r w:rsidRPr="00F86EB1">
        <w:rPr>
          <w:b/>
        </w:rPr>
        <w:t xml:space="preserve"> </w:t>
      </w:r>
      <w:proofErr w:type="spellStart"/>
      <w:r w:rsidRPr="00F86EB1">
        <w:rPr>
          <w:b/>
        </w:rPr>
        <w:t>Yenurkar</w:t>
      </w:r>
      <w:proofErr w:type="spellEnd"/>
    </w:p>
    <w:p w:rsidR="00F13F39" w:rsidRDefault="00F13F39" w:rsidP="00F13F39">
      <w:pPr>
        <w:spacing w:after="0"/>
      </w:pPr>
      <w:r>
        <w:t>Address</w:t>
      </w:r>
      <w:r>
        <w:tab/>
        <w:t>:</w:t>
      </w:r>
      <w:r>
        <w:tab/>
        <w:t>School of Biomedical Engineering, IIT (BHU), Varanasi, UP - 221005</w:t>
      </w:r>
      <w:proofErr w:type="gramStart"/>
      <w:r>
        <w:t>,Varanasi</w:t>
      </w:r>
      <w:proofErr w:type="gramEnd"/>
      <w:r>
        <w:t xml:space="preserve"> Uttar Pradesh, India. </w:t>
      </w:r>
    </w:p>
    <w:p w:rsidR="00F13F39" w:rsidRDefault="00F13F39" w:rsidP="00F13F39">
      <w:pPr>
        <w:spacing w:after="0"/>
      </w:pPr>
      <w:r>
        <w:t>Mobile</w:t>
      </w:r>
      <w:r>
        <w:tab/>
        <w:t>:</w:t>
      </w:r>
      <w:r>
        <w:tab/>
        <w:t>91-9850662613</w:t>
      </w:r>
    </w:p>
    <w:p w:rsidR="00F13F39" w:rsidRDefault="00F13F39" w:rsidP="00F13F39">
      <w:pPr>
        <w:spacing w:after="0"/>
      </w:pPr>
      <w:r>
        <w:t>Email</w:t>
      </w:r>
      <w:r>
        <w:tab/>
        <w:t>:</w:t>
      </w:r>
      <w:r>
        <w:tab/>
        <w:t>devyanimyenurkar.rs.bme22@itbhu.ac.in</w:t>
      </w:r>
    </w:p>
    <w:p w:rsidR="00F13F39" w:rsidRDefault="00F13F39" w:rsidP="00F13F39">
      <w:pPr>
        <w:spacing w:after="0"/>
      </w:pPr>
      <w:r>
        <w:t>Affiliation</w:t>
      </w:r>
      <w:r>
        <w:tab/>
        <w:t>:</w:t>
      </w:r>
      <w:r>
        <w:tab/>
        <w:t>IIT -BHU, Varanasi</w:t>
      </w:r>
    </w:p>
    <w:p w:rsidR="00F13F39" w:rsidRDefault="00F13F39" w:rsidP="00F13F39">
      <w:pPr>
        <w:spacing w:after="0"/>
      </w:pPr>
      <w:r>
        <w:t>Co Author(s)</w:t>
      </w:r>
      <w:r>
        <w:tab/>
        <w:t>:</w:t>
      </w:r>
      <w:r>
        <w:tab/>
      </w:r>
      <w:proofErr w:type="spellStart"/>
      <w:r>
        <w:t>Pragya</w:t>
      </w:r>
      <w:proofErr w:type="spellEnd"/>
      <w:r>
        <w:t xml:space="preserve">, </w:t>
      </w:r>
      <w:proofErr w:type="spellStart"/>
      <w:r>
        <w:t>Lipi</w:t>
      </w:r>
      <w:proofErr w:type="spellEnd"/>
      <w:r>
        <w:t xml:space="preserve"> Pradhan, </w:t>
      </w:r>
      <w:proofErr w:type="spellStart"/>
      <w:r>
        <w:t>Sudip</w:t>
      </w:r>
      <w:proofErr w:type="spellEnd"/>
      <w:r>
        <w:t xml:space="preserve"> Mukherjee</w:t>
      </w:r>
    </w:p>
    <w:p w:rsidR="00FD5A73" w:rsidRDefault="00FD5A73"/>
    <w:sectPr w:rsidR="00FD5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39"/>
    <w:rsid w:val="000C396D"/>
    <w:rsid w:val="00207DC6"/>
    <w:rsid w:val="00214511"/>
    <w:rsid w:val="008440B1"/>
    <w:rsid w:val="008442D0"/>
    <w:rsid w:val="00A569DD"/>
    <w:rsid w:val="00CB6FAC"/>
    <w:rsid w:val="00F13F39"/>
    <w:rsid w:val="00FD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90290-31C5-420D-9C8A-AED5331D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13F39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F13F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3F3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2024-10-10T05:32:00Z</dcterms:created>
  <dcterms:modified xsi:type="dcterms:W3CDTF">2024-10-10T05:37:00Z</dcterms:modified>
</cp:coreProperties>
</file>